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B0005" w14:textId="771CDE25" w:rsidR="00506978" w:rsidRPr="00320388" w:rsidRDefault="00506978" w:rsidP="00160723">
      <w:pPr>
        <w:jc w:val="center"/>
        <w:rPr>
          <w:rFonts w:ascii="Arial" w:hAnsi="Arial" w:cs="Arial"/>
          <w:b/>
          <w:bCs/>
          <w:sz w:val="28"/>
          <w:szCs w:val="28"/>
        </w:rPr>
      </w:pPr>
      <w:r w:rsidRPr="00320388">
        <w:rPr>
          <w:rFonts w:ascii="Arial" w:hAnsi="Arial" w:cs="Arial"/>
          <w:b/>
          <w:bCs/>
          <w:sz w:val="28"/>
          <w:szCs w:val="28"/>
        </w:rPr>
        <w:t xml:space="preserve">Attachment </w:t>
      </w:r>
      <w:r w:rsidR="0064327D">
        <w:rPr>
          <w:rFonts w:ascii="Arial" w:hAnsi="Arial" w:cs="Arial"/>
          <w:b/>
          <w:bCs/>
          <w:sz w:val="28"/>
          <w:szCs w:val="28"/>
        </w:rPr>
        <w:t>4.</w:t>
      </w:r>
      <w:r w:rsidR="0037691E">
        <w:rPr>
          <w:rFonts w:ascii="Arial" w:hAnsi="Arial" w:cs="Arial"/>
          <w:b/>
          <w:bCs/>
          <w:sz w:val="28"/>
          <w:szCs w:val="28"/>
        </w:rPr>
        <w:t>4</w:t>
      </w:r>
    </w:p>
    <w:p w14:paraId="4008985D" w14:textId="1DD33B91" w:rsidR="51D8A16C" w:rsidRPr="00320388" w:rsidRDefault="0037691E" w:rsidP="40801370">
      <w:pPr>
        <w:jc w:val="center"/>
        <w:rPr>
          <w:rFonts w:ascii="Arial" w:hAnsi="Arial" w:cs="Arial"/>
          <w:sz w:val="28"/>
          <w:szCs w:val="28"/>
        </w:rPr>
      </w:pPr>
      <w:r>
        <w:rPr>
          <w:rFonts w:ascii="Arial" w:hAnsi="Arial" w:cs="Arial"/>
          <w:sz w:val="28"/>
          <w:szCs w:val="28"/>
        </w:rPr>
        <w:t>Key Contract Terms</w:t>
      </w:r>
    </w:p>
    <w:p w14:paraId="16159DD9" w14:textId="77777777" w:rsidR="003139E9" w:rsidRDefault="003139E9" w:rsidP="00320388">
      <w:pPr>
        <w:rPr>
          <w:rFonts w:ascii="Arial" w:hAnsi="Arial" w:cs="Arial"/>
        </w:rPr>
      </w:pPr>
    </w:p>
    <w:p w14:paraId="36F910EA" w14:textId="18ECA33C" w:rsidR="00320388" w:rsidRPr="00320388" w:rsidRDefault="00231449" w:rsidP="00320388">
      <w:pPr>
        <w:rPr>
          <w:rFonts w:ascii="Arial" w:hAnsi="Arial" w:cs="Arial"/>
        </w:rPr>
      </w:pPr>
      <w:r>
        <w:rPr>
          <w:rFonts w:ascii="Arial" w:hAnsi="Arial" w:cs="Arial"/>
        </w:rPr>
        <w:t>Please complete the table</w:t>
      </w:r>
      <w:r w:rsidR="0037691E">
        <w:rPr>
          <w:rFonts w:ascii="Arial" w:hAnsi="Arial" w:cs="Arial"/>
        </w:rPr>
        <w:t xml:space="preserve"> below regarding Key </w:t>
      </w:r>
      <w:r w:rsidR="005F4635">
        <w:rPr>
          <w:rFonts w:ascii="Arial" w:hAnsi="Arial" w:cs="Arial"/>
        </w:rPr>
        <w:t>Contract Terms</w:t>
      </w:r>
      <w:r>
        <w:rPr>
          <w:rFonts w:ascii="Arial" w:hAnsi="Arial" w:cs="Arial"/>
        </w:rPr>
        <w:t>.</w:t>
      </w:r>
    </w:p>
    <w:p w14:paraId="78D57209" w14:textId="294753BD" w:rsidR="00964358" w:rsidRDefault="00B56B07" w:rsidP="00816C0C">
      <w:r>
        <w:tab/>
      </w:r>
    </w:p>
    <w:tbl>
      <w:tblPr>
        <w:tblStyle w:val="TableGrid"/>
        <w:tblW w:w="9265" w:type="dxa"/>
        <w:tblLook w:val="04A0" w:firstRow="1" w:lastRow="0" w:firstColumn="1" w:lastColumn="0" w:noHBand="0" w:noVBand="1"/>
      </w:tblPr>
      <w:tblGrid>
        <w:gridCol w:w="4632"/>
        <w:gridCol w:w="4633"/>
      </w:tblGrid>
      <w:tr w:rsidR="006B1031" w14:paraId="0EA9507F" w14:textId="77777777" w:rsidTr="476E8453">
        <w:trPr>
          <w:cantSplit/>
          <w:tblHeader/>
        </w:trPr>
        <w:tc>
          <w:tcPr>
            <w:tcW w:w="4632" w:type="dxa"/>
            <w:shd w:val="clear" w:color="auto" w:fill="000000" w:themeFill="text1"/>
          </w:tcPr>
          <w:p w14:paraId="72DB0C3A" w14:textId="29A405A3" w:rsidR="006B1031" w:rsidRPr="003F7D07" w:rsidRDefault="008B21C3" w:rsidP="00CB2ED1">
            <w:pPr>
              <w:rPr>
                <w:rFonts w:ascii="Arial" w:hAnsi="Arial" w:cs="Arial"/>
                <w:b/>
                <w:szCs w:val="20"/>
              </w:rPr>
            </w:pPr>
            <w:r>
              <w:rPr>
                <w:rFonts w:ascii="Arial" w:hAnsi="Arial" w:cs="Arial"/>
                <w:b/>
                <w:szCs w:val="20"/>
              </w:rPr>
              <w:t>Contract / Proposal Requirement</w:t>
            </w:r>
          </w:p>
        </w:tc>
        <w:tc>
          <w:tcPr>
            <w:tcW w:w="4633" w:type="dxa"/>
            <w:shd w:val="clear" w:color="auto" w:fill="000000" w:themeFill="text1"/>
          </w:tcPr>
          <w:p w14:paraId="5871051B" w14:textId="77777777" w:rsidR="006B1031" w:rsidRPr="003F7D07" w:rsidRDefault="006B1031" w:rsidP="00CB2ED1">
            <w:pPr>
              <w:rPr>
                <w:rFonts w:ascii="Arial" w:hAnsi="Arial" w:cs="Arial"/>
                <w:b/>
                <w:szCs w:val="20"/>
              </w:rPr>
            </w:pPr>
            <w:r w:rsidRPr="003F7D07">
              <w:rPr>
                <w:rFonts w:ascii="Arial" w:hAnsi="Arial" w:cs="Arial"/>
                <w:b/>
                <w:szCs w:val="20"/>
              </w:rPr>
              <w:t>Response</w:t>
            </w:r>
          </w:p>
        </w:tc>
      </w:tr>
      <w:tr w:rsidR="00732F72" w14:paraId="3E6BE57E" w14:textId="77777777" w:rsidTr="476E8453">
        <w:trPr>
          <w:cantSplit/>
        </w:trPr>
        <w:tc>
          <w:tcPr>
            <w:tcW w:w="4632" w:type="dxa"/>
          </w:tcPr>
          <w:p w14:paraId="772FAC71" w14:textId="2D012737" w:rsidR="00732F72" w:rsidRPr="00732F72" w:rsidRDefault="00732F72" w:rsidP="00732F72">
            <w:pPr>
              <w:pStyle w:val="Bullet"/>
              <w:numPr>
                <w:ilvl w:val="0"/>
                <w:numId w:val="0"/>
              </w:numPr>
              <w:ind w:hanging="18"/>
              <w:rPr>
                <w:rFonts w:ascii="Arial" w:hAnsi="Arial" w:cs="Arial"/>
              </w:rPr>
            </w:pPr>
            <w:r w:rsidRPr="476E8453">
              <w:rPr>
                <w:rFonts w:ascii="Arial" w:hAnsi="Arial" w:cs="Arial"/>
                <w:b/>
                <w:bCs/>
              </w:rPr>
              <w:t xml:space="preserve">Key Personnel - </w:t>
            </w:r>
            <w:r w:rsidRPr="476E8453">
              <w:rPr>
                <w:rFonts w:ascii="Arial" w:hAnsi="Arial" w:cs="Arial"/>
              </w:rPr>
              <w:t xml:space="preserve">The </w:t>
            </w:r>
            <w:r w:rsidR="04DD93A9" w:rsidRPr="476E8453">
              <w:rPr>
                <w:rFonts w:ascii="Arial" w:hAnsi="Arial" w:cs="Arial"/>
              </w:rPr>
              <w:t xml:space="preserve">Library </w:t>
            </w:r>
            <w:r w:rsidRPr="476E8453">
              <w:rPr>
                <w:rFonts w:ascii="Arial" w:hAnsi="Arial" w:cs="Arial"/>
              </w:rPr>
              <w:t xml:space="preserve">requires assurances as to the consistency and quality of vendor staffing for its project. The </w:t>
            </w:r>
            <w:r w:rsidR="14359900" w:rsidRPr="476E8453">
              <w:rPr>
                <w:rFonts w:ascii="Arial" w:hAnsi="Arial" w:cs="Arial"/>
              </w:rPr>
              <w:t xml:space="preserve">Library </w:t>
            </w:r>
            <w:r w:rsidRPr="476E8453">
              <w:rPr>
                <w:rFonts w:ascii="Arial" w:hAnsi="Arial" w:cs="Arial"/>
              </w:rPr>
              <w:t xml:space="preserve">shall have the ability to interview and approve key personnel proposed by the vendor and the vendor key personnel may not be removed from the project without the </w:t>
            </w:r>
            <w:r w:rsidR="2A7AE707" w:rsidRPr="476E8453">
              <w:rPr>
                <w:rFonts w:ascii="Arial" w:hAnsi="Arial" w:cs="Arial"/>
              </w:rPr>
              <w:t xml:space="preserve">Library’s </w:t>
            </w:r>
            <w:r w:rsidRPr="476E8453">
              <w:rPr>
                <w:rFonts w:ascii="Arial" w:hAnsi="Arial" w:cs="Arial"/>
              </w:rPr>
              <w:t>approval.</w:t>
            </w:r>
          </w:p>
          <w:p w14:paraId="1081DBA7" w14:textId="7AF7646E" w:rsidR="00732F72" w:rsidRPr="00732F72" w:rsidRDefault="00732F72" w:rsidP="00732F72">
            <w:pPr>
              <w:rPr>
                <w:rFonts w:ascii="Arial" w:hAnsi="Arial" w:cs="Arial"/>
              </w:rPr>
            </w:pPr>
            <w:r w:rsidRPr="00732F72">
              <w:rPr>
                <w:rFonts w:ascii="Arial" w:hAnsi="Arial" w:cs="Arial"/>
                <w:b/>
                <w:i/>
                <w:sz w:val="16"/>
              </w:rPr>
              <w:t>Note: This requirement only applies to consulting services.</w:t>
            </w:r>
          </w:p>
        </w:tc>
        <w:tc>
          <w:tcPr>
            <w:tcW w:w="4633" w:type="dxa"/>
          </w:tcPr>
          <w:p w14:paraId="60D45308" w14:textId="77777777" w:rsidR="00732F72" w:rsidRDefault="00732F72" w:rsidP="00732F72">
            <w:pPr>
              <w:rPr>
                <w:rFonts w:ascii="Arial" w:hAnsi="Arial" w:cs="Arial"/>
                <w:b/>
                <w:sz w:val="24"/>
              </w:rPr>
            </w:pPr>
          </w:p>
        </w:tc>
      </w:tr>
      <w:tr w:rsidR="00732F72" w14:paraId="0EE85140" w14:textId="77777777" w:rsidTr="476E8453">
        <w:trPr>
          <w:cantSplit/>
        </w:trPr>
        <w:tc>
          <w:tcPr>
            <w:tcW w:w="4632" w:type="dxa"/>
          </w:tcPr>
          <w:p w14:paraId="7FD4DA0D" w14:textId="78DA2388" w:rsidR="00732F72" w:rsidRPr="00732F72" w:rsidRDefault="00732F72" w:rsidP="00732F72">
            <w:pPr>
              <w:pStyle w:val="Bullet"/>
              <w:numPr>
                <w:ilvl w:val="0"/>
                <w:numId w:val="0"/>
              </w:numPr>
              <w:ind w:hanging="18"/>
              <w:rPr>
                <w:rFonts w:ascii="Arial" w:hAnsi="Arial" w:cs="Arial"/>
              </w:rPr>
            </w:pPr>
            <w:r w:rsidRPr="00732F72">
              <w:rPr>
                <w:rFonts w:ascii="Arial" w:hAnsi="Arial" w:cs="Arial"/>
                <w:b/>
              </w:rPr>
              <w:t xml:space="preserve">Warranty – </w:t>
            </w:r>
            <w:r w:rsidRPr="00732F72">
              <w:rPr>
                <w:rFonts w:ascii="Arial" w:hAnsi="Arial" w:cs="Arial"/>
              </w:rPr>
              <w:t>The Proposer will warrant that all work will be performed by an adequate number of qualified individuals with suitable training, education, and experience and that all work performed and all deliverables, including the system itself</w:t>
            </w:r>
            <w:r w:rsidR="00231449">
              <w:rPr>
                <w:rFonts w:ascii="Arial" w:hAnsi="Arial" w:cs="Arial"/>
              </w:rPr>
              <w:t>,</w:t>
            </w:r>
            <w:r w:rsidRPr="00732F72">
              <w:rPr>
                <w:rFonts w:ascii="Arial" w:hAnsi="Arial" w:cs="Arial"/>
              </w:rPr>
              <w:t xml:space="preserve"> will conform to the scope and specifications as stated in the eventual SOW, including the vendor responses to the functional requirements for a period extending no less than 45 days after final acceptance.</w:t>
            </w:r>
            <w:r w:rsidRPr="00732F72">
              <w:rPr>
                <w:rFonts w:ascii="Arial" w:hAnsi="Arial" w:cs="Arial"/>
              </w:rPr>
              <w:br/>
            </w:r>
          </w:p>
          <w:p w14:paraId="4C4FEC16" w14:textId="23BE1BF0" w:rsidR="00732F72" w:rsidRPr="00732F72" w:rsidRDefault="00732F72" w:rsidP="00732F72">
            <w:pPr>
              <w:rPr>
                <w:rFonts w:ascii="Arial" w:hAnsi="Arial" w:cs="Arial"/>
              </w:rPr>
            </w:pPr>
            <w:r w:rsidRPr="00732F72">
              <w:rPr>
                <w:rFonts w:ascii="Arial" w:hAnsi="Arial" w:cs="Arial"/>
                <w:b/>
                <w:i/>
                <w:sz w:val="16"/>
              </w:rPr>
              <w:t>Note: This requirement only applies to consulting services.</w:t>
            </w:r>
          </w:p>
        </w:tc>
        <w:tc>
          <w:tcPr>
            <w:tcW w:w="4633" w:type="dxa"/>
          </w:tcPr>
          <w:p w14:paraId="3120F59D" w14:textId="77777777" w:rsidR="00732F72" w:rsidRDefault="00732F72" w:rsidP="00732F72">
            <w:pPr>
              <w:rPr>
                <w:rFonts w:ascii="Arial" w:hAnsi="Arial" w:cs="Arial"/>
                <w:b/>
                <w:sz w:val="24"/>
              </w:rPr>
            </w:pPr>
          </w:p>
        </w:tc>
      </w:tr>
      <w:tr w:rsidR="00732F72" w14:paraId="2C955A4A" w14:textId="77777777" w:rsidTr="476E8453">
        <w:trPr>
          <w:cantSplit/>
        </w:trPr>
        <w:tc>
          <w:tcPr>
            <w:tcW w:w="4632" w:type="dxa"/>
          </w:tcPr>
          <w:p w14:paraId="4F42795D" w14:textId="53535A80" w:rsidR="00732F72" w:rsidRPr="00732F72" w:rsidRDefault="00732F72" w:rsidP="00732F72">
            <w:pPr>
              <w:pStyle w:val="Bullet"/>
              <w:numPr>
                <w:ilvl w:val="0"/>
                <w:numId w:val="0"/>
              </w:numPr>
              <w:rPr>
                <w:rFonts w:ascii="Arial" w:hAnsi="Arial" w:cs="Arial"/>
              </w:rPr>
            </w:pPr>
            <w:r w:rsidRPr="00732F72">
              <w:rPr>
                <w:rFonts w:ascii="Arial" w:hAnsi="Arial" w:cs="Arial"/>
                <w:b/>
              </w:rPr>
              <w:t xml:space="preserve">Acceptance – </w:t>
            </w:r>
            <w:r w:rsidR="00231449">
              <w:rPr>
                <w:rFonts w:ascii="Arial" w:hAnsi="Arial" w:cs="Arial"/>
              </w:rPr>
              <w:t>Selected Vendor</w:t>
            </w:r>
            <w:r w:rsidRPr="00732F72">
              <w:rPr>
                <w:rFonts w:ascii="Arial" w:hAnsi="Arial" w:cs="Arial"/>
              </w:rPr>
              <w:t xml:space="preserve"> shall provide final acceptance period after go-live of not less than thirty (30) days to confirm that the project meets all SOW requirements. Milestone payment for final acceptance is no less than 5% of the total implementation fees for the phase. </w:t>
            </w:r>
            <w:r w:rsidRPr="00732F72">
              <w:rPr>
                <w:rFonts w:ascii="Arial" w:hAnsi="Arial" w:cs="Arial"/>
              </w:rPr>
              <w:br/>
            </w:r>
          </w:p>
          <w:p w14:paraId="0181C24B" w14:textId="4436C0F2" w:rsidR="00732F72" w:rsidRPr="00732F72" w:rsidRDefault="00732F72" w:rsidP="00732F72">
            <w:pPr>
              <w:rPr>
                <w:rFonts w:ascii="Arial" w:hAnsi="Arial" w:cs="Arial"/>
              </w:rPr>
            </w:pPr>
            <w:r w:rsidRPr="00732F72">
              <w:rPr>
                <w:rFonts w:ascii="Arial" w:hAnsi="Arial" w:cs="Arial"/>
                <w:b/>
                <w:i/>
                <w:sz w:val="16"/>
              </w:rPr>
              <w:t>Note: This requirement only applies to consulting services.</w:t>
            </w:r>
          </w:p>
        </w:tc>
        <w:tc>
          <w:tcPr>
            <w:tcW w:w="4633" w:type="dxa"/>
          </w:tcPr>
          <w:p w14:paraId="6A077A01" w14:textId="77777777" w:rsidR="00732F72" w:rsidRDefault="00732F72" w:rsidP="00732F72">
            <w:pPr>
              <w:rPr>
                <w:rFonts w:ascii="Arial" w:hAnsi="Arial" w:cs="Arial"/>
                <w:b/>
                <w:sz w:val="24"/>
              </w:rPr>
            </w:pPr>
          </w:p>
        </w:tc>
      </w:tr>
      <w:tr w:rsidR="00732F72" w14:paraId="76099B46" w14:textId="77777777" w:rsidTr="476E8453">
        <w:trPr>
          <w:cantSplit/>
        </w:trPr>
        <w:tc>
          <w:tcPr>
            <w:tcW w:w="4632" w:type="dxa"/>
          </w:tcPr>
          <w:p w14:paraId="78B58ECA" w14:textId="577D174D" w:rsidR="00732F72" w:rsidRPr="00732F72" w:rsidRDefault="00732F72" w:rsidP="00732F72">
            <w:pPr>
              <w:rPr>
                <w:rFonts w:ascii="Arial" w:hAnsi="Arial" w:cs="Arial"/>
              </w:rPr>
            </w:pPr>
            <w:r w:rsidRPr="476E8453">
              <w:rPr>
                <w:rFonts w:ascii="Arial" w:hAnsi="Arial" w:cs="Arial"/>
                <w:b/>
                <w:bCs/>
              </w:rPr>
              <w:lastRenderedPageBreak/>
              <w:t>Hold Harmless –</w:t>
            </w:r>
            <w:r w:rsidRPr="476E8453">
              <w:rPr>
                <w:rFonts w:ascii="Arial" w:hAnsi="Arial" w:cs="Arial"/>
              </w:rPr>
              <w:t xml:space="preserve"> </w:t>
            </w:r>
            <w:r w:rsidR="00231449" w:rsidRPr="476E8453">
              <w:rPr>
                <w:rFonts w:ascii="Arial" w:hAnsi="Arial" w:cs="Arial"/>
              </w:rPr>
              <w:t>Selected Vendor</w:t>
            </w:r>
            <w:r w:rsidRPr="476E8453">
              <w:rPr>
                <w:rFonts w:ascii="Arial" w:hAnsi="Arial" w:cs="Arial"/>
              </w:rPr>
              <w:t xml:space="preserve"> shall hold harmless, defend</w:t>
            </w:r>
            <w:r w:rsidR="00231449" w:rsidRPr="476E8453">
              <w:rPr>
                <w:rFonts w:ascii="Arial" w:hAnsi="Arial" w:cs="Arial"/>
              </w:rPr>
              <w:t>,</w:t>
            </w:r>
            <w:r w:rsidRPr="476E8453">
              <w:rPr>
                <w:rFonts w:ascii="Arial" w:hAnsi="Arial" w:cs="Arial"/>
              </w:rPr>
              <w:t xml:space="preserve"> and indemnify </w:t>
            </w:r>
            <w:r w:rsidR="472BA943" w:rsidRPr="476E8453">
              <w:rPr>
                <w:rFonts w:ascii="Arial" w:hAnsi="Arial" w:cs="Arial"/>
              </w:rPr>
              <w:t xml:space="preserve">Library </w:t>
            </w:r>
            <w:r w:rsidRPr="476E8453">
              <w:rPr>
                <w:rFonts w:ascii="Arial" w:hAnsi="Arial" w:cs="Arial"/>
              </w:rPr>
              <w:t xml:space="preserve">and its officers, employees, agents, and volunteers, from and against any and all liability, loss, damage, expense, costs (including without limitation costs and fees of litigation) of every nature arising out of or in connection with </w:t>
            </w:r>
            <w:r w:rsidR="00231449" w:rsidRPr="476E8453">
              <w:rPr>
                <w:rFonts w:ascii="Arial" w:hAnsi="Arial" w:cs="Arial"/>
              </w:rPr>
              <w:t>Selected Vendor</w:t>
            </w:r>
            <w:r w:rsidRPr="476E8453">
              <w:rPr>
                <w:rFonts w:ascii="Arial" w:hAnsi="Arial" w:cs="Arial"/>
              </w:rPr>
              <w:t xml:space="preserve">’s performance of work hereunder or its failure to comply with any of its obligations contained in this Agreement, except such loss or damage which was caused by the sole negligence or willful misconduct of </w:t>
            </w:r>
            <w:r w:rsidR="5C1CE0CE" w:rsidRPr="476E8453">
              <w:rPr>
                <w:rFonts w:ascii="Arial" w:hAnsi="Arial" w:cs="Arial"/>
              </w:rPr>
              <w:t>Library</w:t>
            </w:r>
            <w:r w:rsidRPr="476E8453">
              <w:rPr>
                <w:rFonts w:ascii="Arial" w:hAnsi="Arial" w:cs="Arial"/>
              </w:rPr>
              <w:t>.</w:t>
            </w:r>
          </w:p>
        </w:tc>
        <w:tc>
          <w:tcPr>
            <w:tcW w:w="4633" w:type="dxa"/>
          </w:tcPr>
          <w:p w14:paraId="6833C747" w14:textId="77777777" w:rsidR="00732F72" w:rsidRDefault="00732F72" w:rsidP="00732F72">
            <w:pPr>
              <w:rPr>
                <w:rFonts w:ascii="Arial" w:hAnsi="Arial" w:cs="Arial"/>
                <w:b/>
                <w:sz w:val="24"/>
              </w:rPr>
            </w:pPr>
          </w:p>
        </w:tc>
      </w:tr>
      <w:tr w:rsidR="00732F72" w14:paraId="3B8A59ED" w14:textId="77777777" w:rsidTr="476E8453">
        <w:trPr>
          <w:cantSplit/>
        </w:trPr>
        <w:tc>
          <w:tcPr>
            <w:tcW w:w="4632" w:type="dxa"/>
          </w:tcPr>
          <w:p w14:paraId="6996CE94" w14:textId="49923934" w:rsidR="00732F72" w:rsidRPr="00732F72" w:rsidRDefault="00732F72" w:rsidP="00732F72">
            <w:pPr>
              <w:rPr>
                <w:rFonts w:ascii="Arial" w:hAnsi="Arial" w:cs="Arial"/>
              </w:rPr>
            </w:pPr>
            <w:r w:rsidRPr="476E8453">
              <w:rPr>
                <w:rFonts w:ascii="Arial" w:hAnsi="Arial" w:cs="Arial"/>
                <w:b/>
                <w:bCs/>
              </w:rPr>
              <w:t>System Configuration Limits –</w:t>
            </w:r>
            <w:r w:rsidRPr="476E8453">
              <w:rPr>
                <w:rFonts w:ascii="Arial" w:hAnsi="Arial" w:cs="Arial"/>
              </w:rPr>
              <w:t xml:space="preserve"> </w:t>
            </w:r>
            <w:r w:rsidR="00231449" w:rsidRPr="476E8453">
              <w:rPr>
                <w:rFonts w:ascii="Arial" w:hAnsi="Arial" w:cs="Arial"/>
              </w:rPr>
              <w:t>Selected Vendor</w:t>
            </w:r>
            <w:r w:rsidRPr="476E8453">
              <w:rPr>
                <w:rFonts w:ascii="Arial" w:hAnsi="Arial" w:cs="Arial"/>
              </w:rPr>
              <w:t xml:space="preserve"> shall consider the scope of the project defined by the </w:t>
            </w:r>
            <w:r w:rsidR="5855D445" w:rsidRPr="476E8453">
              <w:rPr>
                <w:rFonts w:ascii="Arial" w:hAnsi="Arial" w:cs="Arial"/>
              </w:rPr>
              <w:t xml:space="preserve">Library’s </w:t>
            </w:r>
            <w:r w:rsidRPr="476E8453">
              <w:rPr>
                <w:rFonts w:ascii="Arial" w:hAnsi="Arial" w:cs="Arial"/>
              </w:rPr>
              <w:t xml:space="preserve">business process goals, functional requirements, and desire to implement the licensed software to best meet the needs of the </w:t>
            </w:r>
            <w:r w:rsidR="4DADC9BC" w:rsidRPr="476E8453">
              <w:rPr>
                <w:rFonts w:ascii="Arial" w:hAnsi="Arial" w:cs="Arial"/>
              </w:rPr>
              <w:t>Library</w:t>
            </w:r>
            <w:r w:rsidRPr="476E8453">
              <w:rPr>
                <w:rFonts w:ascii="Arial" w:hAnsi="Arial" w:cs="Arial"/>
              </w:rPr>
              <w:t>. The scope shall not be constrained by any configuration limits that would be necessary to achieve the project scope.</w:t>
            </w:r>
          </w:p>
        </w:tc>
        <w:tc>
          <w:tcPr>
            <w:tcW w:w="4633" w:type="dxa"/>
          </w:tcPr>
          <w:p w14:paraId="597FF13C" w14:textId="77777777" w:rsidR="00732F72" w:rsidRDefault="00732F72" w:rsidP="00732F72">
            <w:pPr>
              <w:rPr>
                <w:rFonts w:ascii="Arial" w:hAnsi="Arial" w:cs="Arial"/>
                <w:b/>
                <w:sz w:val="24"/>
              </w:rPr>
            </w:pPr>
          </w:p>
        </w:tc>
      </w:tr>
      <w:tr w:rsidR="00732F72" w14:paraId="2BDB1B1E" w14:textId="77777777" w:rsidTr="476E8453">
        <w:trPr>
          <w:cantSplit/>
        </w:trPr>
        <w:tc>
          <w:tcPr>
            <w:tcW w:w="4632" w:type="dxa"/>
          </w:tcPr>
          <w:p w14:paraId="75F88D42" w14:textId="7F197FEB" w:rsidR="00732F72" w:rsidRPr="00732F72" w:rsidRDefault="00732F72" w:rsidP="00732F72">
            <w:pPr>
              <w:rPr>
                <w:rFonts w:ascii="Arial" w:hAnsi="Arial" w:cs="Arial"/>
              </w:rPr>
            </w:pPr>
            <w:r w:rsidRPr="00732F72">
              <w:rPr>
                <w:rFonts w:ascii="Arial" w:hAnsi="Arial" w:cs="Arial"/>
                <w:b/>
              </w:rPr>
              <w:t xml:space="preserve">Service Level Agreements – </w:t>
            </w:r>
            <w:r w:rsidR="00231449">
              <w:rPr>
                <w:rFonts w:ascii="Arial" w:hAnsi="Arial" w:cs="Arial"/>
              </w:rPr>
              <w:t>Selected Vendor</w:t>
            </w:r>
            <w:r w:rsidRPr="00732F72">
              <w:rPr>
                <w:rFonts w:ascii="Arial" w:hAnsi="Arial" w:cs="Arial"/>
              </w:rPr>
              <w:t xml:space="preserve"> shall identify clear service level objectives for availability.</w:t>
            </w:r>
          </w:p>
        </w:tc>
        <w:tc>
          <w:tcPr>
            <w:tcW w:w="4633" w:type="dxa"/>
          </w:tcPr>
          <w:p w14:paraId="5B501FA6" w14:textId="77777777" w:rsidR="00732F72" w:rsidRDefault="00732F72" w:rsidP="00732F72">
            <w:pPr>
              <w:rPr>
                <w:rFonts w:ascii="Arial" w:hAnsi="Arial" w:cs="Arial"/>
                <w:b/>
                <w:sz w:val="24"/>
              </w:rPr>
            </w:pPr>
          </w:p>
        </w:tc>
      </w:tr>
      <w:tr w:rsidR="00732F72" w14:paraId="5CEE06D5" w14:textId="77777777" w:rsidTr="476E8453">
        <w:trPr>
          <w:cantSplit/>
        </w:trPr>
        <w:tc>
          <w:tcPr>
            <w:tcW w:w="4632" w:type="dxa"/>
          </w:tcPr>
          <w:p w14:paraId="4FF5666E" w14:textId="4157276F" w:rsidR="00732F72" w:rsidRPr="00732F72" w:rsidRDefault="00732F72" w:rsidP="00732F72">
            <w:pPr>
              <w:rPr>
                <w:rFonts w:ascii="Arial" w:hAnsi="Arial" w:cs="Arial"/>
              </w:rPr>
            </w:pPr>
            <w:r w:rsidRPr="476E8453">
              <w:rPr>
                <w:rFonts w:ascii="Arial" w:hAnsi="Arial" w:cs="Arial"/>
                <w:b/>
                <w:bCs/>
              </w:rPr>
              <w:t xml:space="preserve">Service Level Agreement Remedy – </w:t>
            </w:r>
            <w:r w:rsidR="00231449" w:rsidRPr="476E8453">
              <w:rPr>
                <w:rFonts w:ascii="Arial" w:hAnsi="Arial" w:cs="Arial"/>
              </w:rPr>
              <w:t>Selected Vendor</w:t>
            </w:r>
            <w:r w:rsidRPr="476E8453">
              <w:rPr>
                <w:rFonts w:ascii="Arial" w:hAnsi="Arial" w:cs="Arial"/>
              </w:rPr>
              <w:t xml:space="preserve"> shall provide remedies for failure to meet service levels that include but </w:t>
            </w:r>
            <w:r w:rsidR="5EBC6AA9" w:rsidRPr="476E8453">
              <w:rPr>
                <w:rFonts w:ascii="Arial" w:hAnsi="Arial" w:cs="Arial"/>
              </w:rPr>
              <w:t xml:space="preserve">are </w:t>
            </w:r>
            <w:r w:rsidRPr="476E8453">
              <w:rPr>
                <w:rFonts w:ascii="Arial" w:hAnsi="Arial" w:cs="Arial"/>
              </w:rPr>
              <w:t>not limited to refund of fees paid for service periods where the failure to meet service level objective is met.</w:t>
            </w:r>
          </w:p>
        </w:tc>
        <w:tc>
          <w:tcPr>
            <w:tcW w:w="4633" w:type="dxa"/>
          </w:tcPr>
          <w:p w14:paraId="14676082" w14:textId="77777777" w:rsidR="00732F72" w:rsidRDefault="00732F72" w:rsidP="00732F72">
            <w:pPr>
              <w:rPr>
                <w:rFonts w:ascii="Arial" w:hAnsi="Arial" w:cs="Arial"/>
                <w:b/>
                <w:sz w:val="24"/>
              </w:rPr>
            </w:pPr>
          </w:p>
        </w:tc>
      </w:tr>
      <w:tr w:rsidR="00732F72" w14:paraId="38F25078" w14:textId="77777777" w:rsidTr="476E8453">
        <w:trPr>
          <w:cantSplit/>
        </w:trPr>
        <w:tc>
          <w:tcPr>
            <w:tcW w:w="4632" w:type="dxa"/>
          </w:tcPr>
          <w:p w14:paraId="565F3FD3" w14:textId="4C0BD2A8" w:rsidR="00732F72" w:rsidRPr="00732F72" w:rsidRDefault="00732F72" w:rsidP="00732F72">
            <w:pPr>
              <w:rPr>
                <w:rFonts w:ascii="Arial" w:hAnsi="Arial" w:cs="Arial"/>
              </w:rPr>
            </w:pPr>
            <w:r w:rsidRPr="00732F72">
              <w:rPr>
                <w:rFonts w:ascii="Arial" w:hAnsi="Arial" w:cs="Arial"/>
                <w:b/>
              </w:rPr>
              <w:t xml:space="preserve">Fixed Fee Pricing Based on Milestones – </w:t>
            </w:r>
            <w:r w:rsidR="00231449">
              <w:rPr>
                <w:rFonts w:ascii="Arial" w:hAnsi="Arial" w:cs="Arial"/>
              </w:rPr>
              <w:t>Selected Vendor</w:t>
            </w:r>
            <w:r w:rsidRPr="00732F72">
              <w:rPr>
                <w:rFonts w:ascii="Arial" w:hAnsi="Arial" w:cs="Arial"/>
              </w:rPr>
              <w:t xml:space="preserve"> shall provide fixed fee pricing based on milestones for all implementation services. Fixed fee pricing shall not be further limited by an hours cap on select services.</w:t>
            </w:r>
          </w:p>
        </w:tc>
        <w:tc>
          <w:tcPr>
            <w:tcW w:w="4633" w:type="dxa"/>
          </w:tcPr>
          <w:p w14:paraId="1F2065E9" w14:textId="77777777" w:rsidR="00732F72" w:rsidRDefault="00732F72" w:rsidP="00732F72">
            <w:pPr>
              <w:rPr>
                <w:rFonts w:ascii="Arial" w:hAnsi="Arial" w:cs="Arial"/>
                <w:b/>
                <w:sz w:val="24"/>
              </w:rPr>
            </w:pPr>
          </w:p>
        </w:tc>
      </w:tr>
    </w:tbl>
    <w:p w14:paraId="0AE429F1" w14:textId="77777777" w:rsidR="00C841CA" w:rsidRDefault="00C841CA" w:rsidP="00C841CA"/>
    <w:p w14:paraId="53F09CEB" w14:textId="77777777" w:rsidR="00C841CA" w:rsidRDefault="00C841CA" w:rsidP="00C841CA"/>
    <w:p w14:paraId="0D1C12CF" w14:textId="77777777" w:rsidR="00C841CA" w:rsidRPr="00C841CA" w:rsidRDefault="00C841CA" w:rsidP="00C841CA"/>
    <w:p w14:paraId="5B709050" w14:textId="77777777" w:rsidR="00C421F4" w:rsidRPr="00320388" w:rsidRDefault="00C421F4" w:rsidP="003F7D07">
      <w:pPr>
        <w:autoSpaceDE w:val="0"/>
        <w:autoSpaceDN w:val="0"/>
        <w:adjustRightInd w:val="0"/>
        <w:spacing w:after="240"/>
        <w:rPr>
          <w:rFonts w:ascii="Arial" w:hAnsi="Arial" w:cs="Arial"/>
          <w:b/>
          <w:bCs/>
          <w:szCs w:val="24"/>
          <w:u w:val="single"/>
        </w:rPr>
      </w:pPr>
    </w:p>
    <w:sectPr w:rsidR="00C421F4" w:rsidRPr="00320388" w:rsidSect="00BA3C8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4ED40" w14:textId="77777777" w:rsidR="00BA3C84" w:rsidRDefault="00BA3C84" w:rsidP="00DB01E5">
      <w:pPr>
        <w:spacing w:after="0" w:line="240" w:lineRule="auto"/>
      </w:pPr>
      <w:r>
        <w:separator/>
      </w:r>
    </w:p>
  </w:endnote>
  <w:endnote w:type="continuationSeparator" w:id="0">
    <w:p w14:paraId="27AF7E03" w14:textId="77777777" w:rsidR="00BA3C84" w:rsidRDefault="00BA3C84" w:rsidP="00DB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3505"/>
    </w:tblGrid>
    <w:tr w:rsidR="00B210A5" w14:paraId="4D25211F" w14:textId="77777777" w:rsidTr="002970D3">
      <w:tc>
        <w:tcPr>
          <w:tcW w:w="9350" w:type="dxa"/>
          <w:gridSpan w:val="2"/>
          <w:shd w:val="clear" w:color="auto" w:fill="657C9C" w:themeFill="text2" w:themeFillTint="BF"/>
        </w:tcPr>
        <w:p w14:paraId="4FFD8D5E" w14:textId="77777777" w:rsidR="00B210A5" w:rsidRDefault="00B210A5" w:rsidP="00B210A5">
          <w:pPr>
            <w:pStyle w:val="Footer"/>
          </w:pPr>
        </w:p>
      </w:tc>
    </w:tr>
    <w:tr w:rsidR="00B210A5" w14:paraId="2D503A81" w14:textId="77777777" w:rsidTr="002970D3">
      <w:tc>
        <w:tcPr>
          <w:tcW w:w="5845" w:type="dxa"/>
        </w:tcPr>
        <w:p w14:paraId="2474712A" w14:textId="77777777" w:rsidR="00B210A5" w:rsidRPr="00042CD1" w:rsidRDefault="00B210A5" w:rsidP="00B210A5">
          <w:pPr>
            <w:pStyle w:val="Footer"/>
            <w:rPr>
              <w:rFonts w:ascii="Arial" w:hAnsi="Arial" w:cs="Arial"/>
              <w:b/>
              <w:bCs/>
              <w:sz w:val="18"/>
              <w:szCs w:val="18"/>
            </w:rPr>
          </w:pPr>
          <w:r w:rsidRPr="00042CD1">
            <w:rPr>
              <w:rFonts w:ascii="Arial" w:hAnsi="Arial" w:cs="Arial"/>
              <w:b/>
              <w:bCs/>
              <w:sz w:val="18"/>
              <w:szCs w:val="18"/>
            </w:rPr>
            <w:t>Cleveland Public Library</w:t>
          </w:r>
        </w:p>
        <w:p w14:paraId="22261600" w14:textId="77777777" w:rsidR="00B210A5" w:rsidRPr="00042CD1" w:rsidRDefault="00B210A5" w:rsidP="00B210A5">
          <w:pPr>
            <w:pStyle w:val="Footer"/>
            <w:rPr>
              <w:rFonts w:ascii="Arial" w:hAnsi="Arial" w:cs="Arial"/>
            </w:rPr>
          </w:pPr>
          <w:r w:rsidRPr="00042CD1">
            <w:rPr>
              <w:rFonts w:ascii="Arial" w:hAnsi="Arial" w:cs="Arial"/>
              <w:sz w:val="18"/>
              <w:szCs w:val="18"/>
            </w:rPr>
            <w:t>Request for Proposals for ERP Software and Implementation Services</w:t>
          </w:r>
        </w:p>
      </w:tc>
      <w:tc>
        <w:tcPr>
          <w:tcW w:w="3505" w:type="dxa"/>
          <w:vAlign w:val="center"/>
        </w:tcPr>
        <w:p w14:paraId="2A26CB41" w14:textId="77777777" w:rsidR="00B210A5" w:rsidRPr="00042CD1" w:rsidRDefault="00B210A5" w:rsidP="00B210A5">
          <w:pPr>
            <w:pStyle w:val="Footer"/>
            <w:jc w:val="right"/>
            <w:rPr>
              <w:rFonts w:ascii="Arial" w:hAnsi="Arial" w:cs="Arial"/>
              <w:sz w:val="18"/>
              <w:szCs w:val="18"/>
            </w:rPr>
          </w:pPr>
          <w:r w:rsidRPr="00042CD1">
            <w:rPr>
              <w:rFonts w:ascii="Arial" w:hAnsi="Arial" w:cs="Arial"/>
              <w:sz w:val="18"/>
              <w:szCs w:val="18"/>
            </w:rPr>
            <w:t xml:space="preserve">Page </w:t>
          </w:r>
          <w:r w:rsidRPr="00042CD1">
            <w:rPr>
              <w:rFonts w:ascii="Arial" w:hAnsi="Arial" w:cs="Arial"/>
              <w:sz w:val="18"/>
              <w:szCs w:val="18"/>
            </w:rPr>
            <w:fldChar w:fldCharType="begin"/>
          </w:r>
          <w:r w:rsidRPr="00042CD1">
            <w:rPr>
              <w:rFonts w:ascii="Arial" w:hAnsi="Arial" w:cs="Arial"/>
              <w:sz w:val="18"/>
              <w:szCs w:val="18"/>
            </w:rPr>
            <w:instrText xml:space="preserve"> PAGE   \* MERGEFORMAT </w:instrText>
          </w:r>
          <w:r w:rsidRPr="00042CD1">
            <w:rPr>
              <w:rFonts w:ascii="Arial" w:hAnsi="Arial" w:cs="Arial"/>
              <w:sz w:val="18"/>
              <w:szCs w:val="18"/>
            </w:rPr>
            <w:fldChar w:fldCharType="separate"/>
          </w:r>
          <w:r w:rsidRPr="00042CD1">
            <w:rPr>
              <w:rFonts w:ascii="Arial" w:hAnsi="Arial" w:cs="Arial"/>
              <w:noProof/>
              <w:sz w:val="18"/>
              <w:szCs w:val="18"/>
            </w:rPr>
            <w:t>2</w:t>
          </w:r>
          <w:r w:rsidRPr="00042CD1">
            <w:rPr>
              <w:rFonts w:ascii="Arial" w:hAnsi="Arial" w:cs="Arial"/>
              <w:sz w:val="18"/>
              <w:szCs w:val="18"/>
            </w:rPr>
            <w:fldChar w:fldCharType="end"/>
          </w:r>
        </w:p>
      </w:tc>
    </w:tr>
  </w:tbl>
  <w:p w14:paraId="27427E43" w14:textId="77777777" w:rsidR="00DB01E5" w:rsidRPr="00A539B8" w:rsidRDefault="00DB01E5" w:rsidP="00A53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AAAFB" w14:textId="77777777" w:rsidR="00BA3C84" w:rsidRDefault="00BA3C84" w:rsidP="00DB01E5">
      <w:pPr>
        <w:spacing w:after="0" w:line="240" w:lineRule="auto"/>
      </w:pPr>
      <w:r>
        <w:separator/>
      </w:r>
    </w:p>
  </w:footnote>
  <w:footnote w:type="continuationSeparator" w:id="0">
    <w:p w14:paraId="25AA0124" w14:textId="77777777" w:rsidR="00BA3C84" w:rsidRDefault="00BA3C84" w:rsidP="00DB0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905" w:type="dxa"/>
      <w:tblInd w:w="-635" w:type="dxa"/>
      <w:tblLook w:val="04A0" w:firstRow="1" w:lastRow="0" w:firstColumn="1" w:lastColumn="0" w:noHBand="0" w:noVBand="1"/>
    </w:tblPr>
    <w:tblGrid>
      <w:gridCol w:w="7015"/>
      <w:gridCol w:w="2890"/>
    </w:tblGrid>
    <w:tr w:rsidR="0067446F" w:rsidRPr="0067446F" w14:paraId="35C2657C" w14:textId="77777777" w:rsidTr="003B08F4">
      <w:tc>
        <w:tcPr>
          <w:tcW w:w="7015" w:type="dxa"/>
          <w:tcBorders>
            <w:top w:val="nil"/>
            <w:left w:val="nil"/>
            <w:bottom w:val="nil"/>
            <w:right w:val="nil"/>
          </w:tcBorders>
        </w:tcPr>
        <w:p w14:paraId="69903AD2" w14:textId="6090945E" w:rsidR="0067446F" w:rsidRPr="0067446F" w:rsidRDefault="0067446F" w:rsidP="0067446F">
          <w:pPr>
            <w:pStyle w:val="Header"/>
            <w:rPr>
              <w:rFonts w:ascii="Arial" w:hAnsi="Arial" w:cs="Arial"/>
              <w:sz w:val="20"/>
              <w:szCs w:val="20"/>
            </w:rPr>
          </w:pPr>
        </w:p>
      </w:tc>
      <w:tc>
        <w:tcPr>
          <w:tcW w:w="2890" w:type="dxa"/>
          <w:tcBorders>
            <w:top w:val="nil"/>
            <w:left w:val="nil"/>
            <w:bottom w:val="nil"/>
            <w:right w:val="nil"/>
          </w:tcBorders>
          <w:vAlign w:val="center"/>
        </w:tcPr>
        <w:p w14:paraId="5D2D8133" w14:textId="4247F78C" w:rsidR="0067446F" w:rsidRPr="0067446F" w:rsidRDefault="0067446F" w:rsidP="0067446F">
          <w:pPr>
            <w:pStyle w:val="Header"/>
            <w:jc w:val="right"/>
            <w:rPr>
              <w:rFonts w:ascii="Arial" w:hAnsi="Arial" w:cs="Arial"/>
              <w:sz w:val="20"/>
              <w:szCs w:val="20"/>
            </w:rPr>
          </w:pPr>
          <w:r w:rsidRPr="0067446F">
            <w:rPr>
              <w:rFonts w:ascii="Arial" w:hAnsi="Arial" w:cs="Arial"/>
              <w:sz w:val="20"/>
              <w:szCs w:val="20"/>
            </w:rPr>
            <w:t xml:space="preserve">Attachment </w:t>
          </w:r>
          <w:r w:rsidR="0064327D">
            <w:rPr>
              <w:rFonts w:ascii="Arial" w:hAnsi="Arial" w:cs="Arial"/>
              <w:sz w:val="20"/>
              <w:szCs w:val="20"/>
            </w:rPr>
            <w:t>4.</w:t>
          </w:r>
          <w:r w:rsidR="0037691E">
            <w:rPr>
              <w:rFonts w:ascii="Arial" w:hAnsi="Arial" w:cs="Arial"/>
              <w:sz w:val="20"/>
              <w:szCs w:val="20"/>
            </w:rPr>
            <w:t>4</w:t>
          </w:r>
        </w:p>
      </w:tc>
    </w:tr>
  </w:tbl>
  <w:p w14:paraId="29CC4A2C" w14:textId="77777777" w:rsidR="00DB01E5" w:rsidRDefault="00DB0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2B604D"/>
    <w:multiLevelType w:val="hybridMultilevel"/>
    <w:tmpl w:val="F12239C2"/>
    <w:lvl w:ilvl="0" w:tplc="590C9710">
      <w:start w:val="1"/>
      <w:numFmt w:val="bullet"/>
      <w:pStyle w:val="Bullet"/>
      <w:lvlText w:val=""/>
      <w:lvlJc w:val="left"/>
      <w:pPr>
        <w:tabs>
          <w:tab w:val="num" w:pos="1440"/>
        </w:tabs>
        <w:ind w:left="1440" w:hanging="270"/>
      </w:pPr>
      <w:rPr>
        <w:rFonts w:ascii="Wingdings" w:hAnsi="Wingdings" w:hint="default"/>
        <w:sz w:val="24"/>
      </w:rPr>
    </w:lvl>
    <w:lvl w:ilvl="1" w:tplc="263AEAF6">
      <w:start w:val="1"/>
      <w:numFmt w:val="bullet"/>
      <w:lvlText w:val=""/>
      <w:lvlJc w:val="left"/>
      <w:pPr>
        <w:tabs>
          <w:tab w:val="num" w:pos="2250"/>
        </w:tabs>
        <w:ind w:left="2250" w:hanging="360"/>
      </w:pPr>
      <w:rPr>
        <w:rFonts w:ascii="Wingdings" w:hAnsi="Wingdings" w:hint="default"/>
        <w:sz w:val="24"/>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16cid:durableId="1129397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1E5"/>
    <w:rsid w:val="000033B5"/>
    <w:rsid w:val="000373F5"/>
    <w:rsid w:val="000B1FAB"/>
    <w:rsid w:val="000E5421"/>
    <w:rsid w:val="000E644D"/>
    <w:rsid w:val="00100964"/>
    <w:rsid w:val="00117897"/>
    <w:rsid w:val="00121EC3"/>
    <w:rsid w:val="00137F57"/>
    <w:rsid w:val="00160723"/>
    <w:rsid w:val="001A0026"/>
    <w:rsid w:val="001A091F"/>
    <w:rsid w:val="001B5BB5"/>
    <w:rsid w:val="001D2D3F"/>
    <w:rsid w:val="001D3618"/>
    <w:rsid w:val="001E1E85"/>
    <w:rsid w:val="00231449"/>
    <w:rsid w:val="002440F4"/>
    <w:rsid w:val="00266C2E"/>
    <w:rsid w:val="00297541"/>
    <w:rsid w:val="002A371B"/>
    <w:rsid w:val="002A5339"/>
    <w:rsid w:val="002B27C8"/>
    <w:rsid w:val="002C2015"/>
    <w:rsid w:val="002C3A78"/>
    <w:rsid w:val="002D23E0"/>
    <w:rsid w:val="002E7E34"/>
    <w:rsid w:val="002F21FF"/>
    <w:rsid w:val="0030278E"/>
    <w:rsid w:val="00303974"/>
    <w:rsid w:val="003139E9"/>
    <w:rsid w:val="00320388"/>
    <w:rsid w:val="00335765"/>
    <w:rsid w:val="00362E3A"/>
    <w:rsid w:val="0037691E"/>
    <w:rsid w:val="003B08F4"/>
    <w:rsid w:val="003B2FA4"/>
    <w:rsid w:val="003B6581"/>
    <w:rsid w:val="003B7247"/>
    <w:rsid w:val="003E6D3E"/>
    <w:rsid w:val="003F7D07"/>
    <w:rsid w:val="00412F8C"/>
    <w:rsid w:val="00436B40"/>
    <w:rsid w:val="00437E7E"/>
    <w:rsid w:val="0045579B"/>
    <w:rsid w:val="004729F3"/>
    <w:rsid w:val="004940B3"/>
    <w:rsid w:val="004B3B49"/>
    <w:rsid w:val="004B3B64"/>
    <w:rsid w:val="004B47D7"/>
    <w:rsid w:val="004B7880"/>
    <w:rsid w:val="004C3A98"/>
    <w:rsid w:val="00506978"/>
    <w:rsid w:val="00561599"/>
    <w:rsid w:val="005724CD"/>
    <w:rsid w:val="00577AEF"/>
    <w:rsid w:val="00577CA1"/>
    <w:rsid w:val="005D238B"/>
    <w:rsid w:val="005F4635"/>
    <w:rsid w:val="0064327D"/>
    <w:rsid w:val="0067285B"/>
    <w:rsid w:val="00673662"/>
    <w:rsid w:val="0067446F"/>
    <w:rsid w:val="006A3D2B"/>
    <w:rsid w:val="006A73BA"/>
    <w:rsid w:val="006B1031"/>
    <w:rsid w:val="006B5D6E"/>
    <w:rsid w:val="006B717B"/>
    <w:rsid w:val="006F4757"/>
    <w:rsid w:val="006F5984"/>
    <w:rsid w:val="007218EF"/>
    <w:rsid w:val="00724B71"/>
    <w:rsid w:val="00732F72"/>
    <w:rsid w:val="0074429E"/>
    <w:rsid w:val="00752706"/>
    <w:rsid w:val="0077473D"/>
    <w:rsid w:val="007A6623"/>
    <w:rsid w:val="007C1565"/>
    <w:rsid w:val="007D0C0B"/>
    <w:rsid w:val="007D7866"/>
    <w:rsid w:val="007E7002"/>
    <w:rsid w:val="007F70E4"/>
    <w:rsid w:val="0081184C"/>
    <w:rsid w:val="00816C0C"/>
    <w:rsid w:val="008601F8"/>
    <w:rsid w:val="008B21C3"/>
    <w:rsid w:val="008B7AB1"/>
    <w:rsid w:val="008C1D0B"/>
    <w:rsid w:val="00902A65"/>
    <w:rsid w:val="00964358"/>
    <w:rsid w:val="00967110"/>
    <w:rsid w:val="00970BD1"/>
    <w:rsid w:val="009808B5"/>
    <w:rsid w:val="00980FD0"/>
    <w:rsid w:val="009A374B"/>
    <w:rsid w:val="009C550B"/>
    <w:rsid w:val="00A22A81"/>
    <w:rsid w:val="00A41942"/>
    <w:rsid w:val="00A45BC6"/>
    <w:rsid w:val="00A51856"/>
    <w:rsid w:val="00A539B8"/>
    <w:rsid w:val="00A87149"/>
    <w:rsid w:val="00AA5A97"/>
    <w:rsid w:val="00B210A5"/>
    <w:rsid w:val="00B56B07"/>
    <w:rsid w:val="00B62CFA"/>
    <w:rsid w:val="00BA3C84"/>
    <w:rsid w:val="00BC0C92"/>
    <w:rsid w:val="00BC6A77"/>
    <w:rsid w:val="00C20F9A"/>
    <w:rsid w:val="00C421F4"/>
    <w:rsid w:val="00C841CA"/>
    <w:rsid w:val="00C84FDA"/>
    <w:rsid w:val="00C8540A"/>
    <w:rsid w:val="00C90FB4"/>
    <w:rsid w:val="00C959EA"/>
    <w:rsid w:val="00CC718D"/>
    <w:rsid w:val="00D14639"/>
    <w:rsid w:val="00D72F6F"/>
    <w:rsid w:val="00D834DE"/>
    <w:rsid w:val="00DB01E5"/>
    <w:rsid w:val="00DC4250"/>
    <w:rsid w:val="00DD4EE9"/>
    <w:rsid w:val="00DD5A38"/>
    <w:rsid w:val="00DE08AC"/>
    <w:rsid w:val="00DE1B3D"/>
    <w:rsid w:val="00DF5846"/>
    <w:rsid w:val="00E12212"/>
    <w:rsid w:val="00E318DF"/>
    <w:rsid w:val="00E65FFA"/>
    <w:rsid w:val="00ED16FB"/>
    <w:rsid w:val="00F24EDA"/>
    <w:rsid w:val="00F43CEC"/>
    <w:rsid w:val="00F952EE"/>
    <w:rsid w:val="00F95AA1"/>
    <w:rsid w:val="00FF0FBC"/>
    <w:rsid w:val="00FF72AC"/>
    <w:rsid w:val="04DD93A9"/>
    <w:rsid w:val="0A990382"/>
    <w:rsid w:val="14359900"/>
    <w:rsid w:val="16FAB977"/>
    <w:rsid w:val="1C99E884"/>
    <w:rsid w:val="2A0F3E23"/>
    <w:rsid w:val="2A7AE707"/>
    <w:rsid w:val="40801370"/>
    <w:rsid w:val="472BA943"/>
    <w:rsid w:val="476E8453"/>
    <w:rsid w:val="48EB6ADB"/>
    <w:rsid w:val="4C230B9D"/>
    <w:rsid w:val="4DADC9BC"/>
    <w:rsid w:val="51D8A16C"/>
    <w:rsid w:val="5855D445"/>
    <w:rsid w:val="5C1CE0CE"/>
    <w:rsid w:val="5EBC6AA9"/>
    <w:rsid w:val="6B74F509"/>
    <w:rsid w:val="6C88DF37"/>
    <w:rsid w:val="7A0FD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90C90"/>
  <w15:chartTrackingRefBased/>
  <w15:docId w15:val="{6BC2C15D-136C-4CA8-8FB0-5B4A6849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38B"/>
    <w:pPr>
      <w:spacing w:before="40" w:after="80"/>
    </w:pPr>
  </w:style>
  <w:style w:type="paragraph" w:styleId="Heading1">
    <w:name w:val="heading 1"/>
    <w:basedOn w:val="Normal"/>
    <w:next w:val="Normal"/>
    <w:link w:val="Heading1Char"/>
    <w:uiPriority w:val="9"/>
    <w:qFormat/>
    <w:rsid w:val="003F7D07"/>
    <w:pPr>
      <w:keepNext/>
      <w:keepLines/>
      <w:spacing w:before="240" w:after="120"/>
      <w:outlineLvl w:val="0"/>
    </w:pPr>
    <w:rPr>
      <w:rFonts w:ascii="Arial" w:eastAsiaTheme="majorEastAsia" w:hAnsi="Arial" w:cstheme="majorBidi"/>
      <w:b/>
      <w:sz w:val="24"/>
      <w:szCs w:val="32"/>
    </w:rPr>
  </w:style>
  <w:style w:type="paragraph" w:styleId="Heading2">
    <w:name w:val="heading 2"/>
    <w:basedOn w:val="Normal"/>
    <w:next w:val="Normal"/>
    <w:link w:val="Heading2Char"/>
    <w:uiPriority w:val="9"/>
    <w:unhideWhenUsed/>
    <w:qFormat/>
    <w:rsid w:val="00506978"/>
    <w:pPr>
      <w:keepNext/>
      <w:keepLines/>
      <w:spacing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1E5"/>
  </w:style>
  <w:style w:type="paragraph" w:styleId="Footer">
    <w:name w:val="footer"/>
    <w:basedOn w:val="Normal"/>
    <w:link w:val="FooterChar"/>
    <w:uiPriority w:val="99"/>
    <w:unhideWhenUsed/>
    <w:rsid w:val="00DB0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1E5"/>
  </w:style>
  <w:style w:type="table" w:styleId="TableGrid">
    <w:name w:val="Table Grid"/>
    <w:basedOn w:val="TableNormal"/>
    <w:uiPriority w:val="39"/>
    <w:rsid w:val="00DB0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7D07"/>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506978"/>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81184C"/>
    <w:pPr>
      <w:spacing w:after="0" w:line="240" w:lineRule="auto"/>
    </w:pPr>
  </w:style>
  <w:style w:type="character" w:styleId="PlaceholderText">
    <w:name w:val="Placeholder Text"/>
    <w:basedOn w:val="DefaultParagraphFont"/>
    <w:uiPriority w:val="99"/>
    <w:semiHidden/>
    <w:rsid w:val="00967110"/>
    <w:rPr>
      <w:color w:val="666666"/>
    </w:rPr>
  </w:style>
  <w:style w:type="character" w:styleId="Strong">
    <w:name w:val="Strong"/>
    <w:basedOn w:val="DefaultParagraphFont"/>
    <w:uiPriority w:val="22"/>
    <w:qFormat/>
    <w:rsid w:val="002A371B"/>
    <w:rPr>
      <w:b/>
      <w:bCs/>
    </w:rPr>
  </w:style>
  <w:style w:type="paragraph" w:customStyle="1" w:styleId="Bullet">
    <w:name w:val="Bullet"/>
    <w:basedOn w:val="BodyText"/>
    <w:next w:val="BodyText"/>
    <w:rsid w:val="00732F72"/>
    <w:pPr>
      <w:numPr>
        <w:numId w:val="1"/>
      </w:numPr>
      <w:spacing w:before="0" w:after="160" w:line="240" w:lineRule="auto"/>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732F72"/>
    <w:pPr>
      <w:spacing w:after="120"/>
    </w:pPr>
  </w:style>
  <w:style w:type="character" w:customStyle="1" w:styleId="BodyTextChar">
    <w:name w:val="Body Text Char"/>
    <w:basedOn w:val="DefaultParagraphFont"/>
    <w:link w:val="BodyText"/>
    <w:uiPriority w:val="99"/>
    <w:semiHidden/>
    <w:rsid w:val="00732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AB3E19BDBDE44B323B62625E559BD" ma:contentTypeVersion="4227" ma:contentTypeDescription="Create a new document." ma:contentTypeScope="" ma:versionID="5b9bfaa765d01f3615c3a9beeca9b3d8">
  <xsd:schema xmlns:xsd="http://www.w3.org/2001/XMLSchema" xmlns:xs="http://www.w3.org/2001/XMLSchema" xmlns:p="http://schemas.microsoft.com/office/2006/metadata/properties" xmlns:ns2="d5e6314c-50fd-4df2-980d-fb40e448481f" xmlns:ns3="01861f2e-228d-4d3a-9f6a-7f948bade60e" targetNamespace="http://schemas.microsoft.com/office/2006/metadata/properties" ma:root="true" ma:fieldsID="b943dc038fadb805399c605f0b5da43b" ns2:_="" ns3:_="">
    <xsd:import namespace="d5e6314c-50fd-4df2-980d-fb40e448481f"/>
    <xsd:import namespace="01861f2e-228d-4d3a-9f6a-7f948bade6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6314c-50fd-4df2-980d-fb40e44848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5ba21e7-eea4-47d0-9763-05c4feb6a105}" ma:internalName="TaxCatchAll" ma:showField="CatchAllData" ma:web="d5e6314c-50fd-4df2-980d-fb40e44848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861f2e-228d-4d3a-9f6a-7f948bade6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9ae6b4a1-b27c-447e-8e50-ff59a5591b1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861f2e-228d-4d3a-9f6a-7f948bade60e">
      <Terms xmlns="http://schemas.microsoft.com/office/infopath/2007/PartnerControls"/>
    </lcf76f155ced4ddcb4097134ff3c332f>
    <TaxCatchAll xmlns="d5e6314c-50fd-4df2-980d-fb40e448481f" xsi:nil="true"/>
    <SharedWithUsers xmlns="d5e6314c-50fd-4df2-980d-fb40e448481f">
      <UserInfo>
        <DisplayName/>
        <AccountId xsi:nil="true"/>
        <AccountType/>
      </UserInfo>
    </SharedWithUsers>
    <_dlc_DocId xmlns="d5e6314c-50fd-4df2-980d-fb40e448481f">EF4XEMEJ4UES-1769346893-431889</_dlc_DocId>
    <_dlc_DocIdUrl xmlns="d5e6314c-50fd-4df2-980d-fb40e448481f">
      <Url>https://clevnet.sharepoint.com/sites/CPLDocuments/_layouts/15/DocIdRedir.aspx?ID=EF4XEMEJ4UES-1769346893-431889</Url>
      <Description>EF4XEMEJ4UES-1769346893-431889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65486-BC8B-4ED5-8D82-B27F92F94486}">
  <ds:schemaRefs>
    <ds:schemaRef ds:uri="http://schemas.microsoft.com/sharepoint/v3/contenttype/forms"/>
  </ds:schemaRefs>
</ds:datastoreItem>
</file>

<file path=customXml/itemProps2.xml><?xml version="1.0" encoding="utf-8"?>
<ds:datastoreItem xmlns:ds="http://schemas.openxmlformats.org/officeDocument/2006/customXml" ds:itemID="{81E424FB-A312-44B4-843C-62BB48DAB4BC}"/>
</file>

<file path=customXml/itemProps3.xml><?xml version="1.0" encoding="utf-8"?>
<ds:datastoreItem xmlns:ds="http://schemas.openxmlformats.org/officeDocument/2006/customXml" ds:itemID="{2730F860-C1D7-48D5-BCE9-EE521649E679}">
  <ds:schemaRefs>
    <ds:schemaRef ds:uri="http://schemas.microsoft.com/office/2006/metadata/properties"/>
    <ds:schemaRef ds:uri="http://schemas.microsoft.com/office/infopath/2007/PartnerControls"/>
    <ds:schemaRef ds:uri="bfb91fba-2051-4f9f-8c6d-f81a6b034e39"/>
    <ds:schemaRef ds:uri="329da7ac-b553-4fef-9671-39b43082889e"/>
  </ds:schemaRefs>
</ds:datastoreItem>
</file>

<file path=customXml/itemProps4.xml><?xml version="1.0" encoding="utf-8"?>
<ds:datastoreItem xmlns:ds="http://schemas.openxmlformats.org/officeDocument/2006/customXml" ds:itemID="{83E5170D-2C0C-4DF7-AC84-D5D683C3FCCC}"/>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2440</Characters>
  <Application>Microsoft Office Word</Application>
  <DocSecurity>0</DocSecurity>
  <Lines>20</Lines>
  <Paragraphs>5</Paragraphs>
  <ScaleCrop>false</ScaleCrop>
  <Company>GFOA</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Roque</dc:creator>
  <cp:keywords/>
  <dc:description/>
  <cp:lastModifiedBy>Benjamin Davidson</cp:lastModifiedBy>
  <cp:revision>5</cp:revision>
  <dcterms:created xsi:type="dcterms:W3CDTF">2024-03-26T11:14:00Z</dcterms:created>
  <dcterms:modified xsi:type="dcterms:W3CDTF">2024-03-26T22:10:00Z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0x010100848AB3E19BDBDE44B323B62625E559BD</vt:lpwstr>
  </property>
  <property fmtid="{D5CDD505-2E9C-101B-9397-08002B2CF9AE}" pid="3" name="MediaServiceImageTags">
    <vt:lpwstr/>
  </property>
  <property fmtid="{D5CDD505-2E9C-101B-9397-08002B2CF9AE}" pid="4" name="Order">
    <vt:r8>23200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fbe60b79-841f-4750-a87a-a89c98201e25</vt:lpwstr>
  </property>
</Properties>
</file>